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C450E" w14:textId="77777777" w:rsidR="00E808F5" w:rsidRPr="00E808F5" w:rsidRDefault="00E808F5" w:rsidP="00E808F5">
      <w:pPr>
        <w:jc w:val="center"/>
        <w:rPr>
          <w:sz w:val="32"/>
          <w:szCs w:val="32"/>
        </w:rPr>
      </w:pPr>
      <w:r w:rsidRPr="00E808F5">
        <w:rPr>
          <w:sz w:val="32"/>
          <w:szCs w:val="32"/>
        </w:rPr>
        <w:t>Shouldham Parish Council</w:t>
      </w:r>
    </w:p>
    <w:p w14:paraId="00520953" w14:textId="77777777" w:rsidR="00E808F5" w:rsidRPr="00E808F5" w:rsidRDefault="00E808F5" w:rsidP="00E808F5">
      <w:pPr>
        <w:jc w:val="center"/>
        <w:rPr>
          <w:b/>
        </w:rPr>
      </w:pPr>
      <w:r w:rsidRPr="00E808F5">
        <w:rPr>
          <w:b/>
        </w:rPr>
        <w:t>DRAFT Minutes of an Ordinary Meeting of the above named Parish Council held on</w:t>
      </w:r>
      <w:r w:rsidRPr="00E808F5">
        <w:rPr>
          <w:b/>
        </w:rPr>
        <w:br/>
        <w:t>Monday 19 September 2016 at Shouldham Village Hall</w:t>
      </w:r>
    </w:p>
    <w:p w14:paraId="663C6375" w14:textId="77777777" w:rsidR="00E808F5" w:rsidRDefault="00E808F5"/>
    <w:p w14:paraId="35C06316" w14:textId="77777777" w:rsidR="00E808F5" w:rsidRDefault="00E808F5" w:rsidP="001A766E">
      <w:pPr>
        <w:jc w:val="both"/>
      </w:pPr>
      <w:r>
        <w:t>Present</w:t>
      </w:r>
    </w:p>
    <w:p w14:paraId="30A61437" w14:textId="77777777" w:rsidR="00E808F5" w:rsidRDefault="00E808F5" w:rsidP="001A766E">
      <w:pPr>
        <w:jc w:val="both"/>
      </w:pPr>
      <w:r>
        <w:t>Parish Councillors:</w:t>
      </w:r>
    </w:p>
    <w:p w14:paraId="6E6257EC" w14:textId="77777777" w:rsidR="00447F4D" w:rsidRPr="00447F4D" w:rsidRDefault="00447F4D" w:rsidP="001A766E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lang w:val="en-US" w:eastAsia="en-GB"/>
        </w:rPr>
      </w:pPr>
      <w:r w:rsidRPr="001A766E">
        <w:t xml:space="preserve">Geoff </w:t>
      </w:r>
      <w:proofErr w:type="spellStart"/>
      <w:r w:rsidRPr="001A766E">
        <w:t>Hipperson</w:t>
      </w:r>
      <w:proofErr w:type="spellEnd"/>
      <w:r w:rsidRPr="001A766E">
        <w:t xml:space="preserve"> (Chairman), </w:t>
      </w:r>
      <w:r w:rsidRPr="001A766E">
        <w:rPr>
          <w:rFonts w:eastAsia="Times New Roman" w:cs="Times New Roman"/>
          <w:color w:val="333333"/>
          <w:lang w:val="en-US" w:eastAsia="en-GB"/>
        </w:rPr>
        <w:t xml:space="preserve">Paul Gascoyne, </w:t>
      </w:r>
      <w:r w:rsidRPr="00447F4D">
        <w:rPr>
          <w:rFonts w:eastAsia="Times New Roman" w:cs="Times New Roman"/>
          <w:color w:val="333333"/>
          <w:lang w:val="en-US" w:eastAsia="en-GB"/>
        </w:rPr>
        <w:t>Keith Matthews</w:t>
      </w:r>
      <w:r w:rsidRPr="001A766E">
        <w:rPr>
          <w:rFonts w:eastAsia="Times New Roman" w:cs="Times New Roman"/>
          <w:color w:val="333333"/>
          <w:lang w:val="en-US" w:eastAsia="en-GB"/>
        </w:rPr>
        <w:t xml:space="preserve">, </w:t>
      </w:r>
      <w:r w:rsidRPr="00447F4D">
        <w:rPr>
          <w:rFonts w:eastAsia="Times New Roman" w:cs="Times New Roman"/>
          <w:color w:val="333333"/>
          <w:lang w:val="en-US" w:eastAsia="en-GB"/>
        </w:rPr>
        <w:t>Kevin Carter</w:t>
      </w:r>
      <w:r w:rsidRPr="001A766E">
        <w:rPr>
          <w:rFonts w:eastAsia="Times New Roman" w:cs="Times New Roman"/>
          <w:color w:val="333333"/>
          <w:lang w:val="en-US" w:eastAsia="en-GB"/>
        </w:rPr>
        <w:t xml:space="preserve">, </w:t>
      </w:r>
      <w:r w:rsidRPr="00447F4D">
        <w:rPr>
          <w:rFonts w:eastAsia="Times New Roman" w:cs="Times New Roman"/>
          <w:color w:val="333333"/>
          <w:lang w:val="en-US" w:eastAsia="en-GB"/>
        </w:rPr>
        <w:t>Adele Berryman</w:t>
      </w:r>
      <w:r w:rsidRPr="001A766E">
        <w:rPr>
          <w:rFonts w:eastAsia="Times New Roman" w:cs="Times New Roman"/>
          <w:color w:val="333333"/>
          <w:lang w:val="en-US" w:eastAsia="en-GB"/>
        </w:rPr>
        <w:t>,</w:t>
      </w:r>
      <w:r w:rsidR="001A766E" w:rsidRPr="001A766E">
        <w:rPr>
          <w:rFonts w:eastAsia="Times New Roman" w:cs="Times New Roman"/>
          <w:color w:val="333333"/>
          <w:lang w:val="en-US" w:eastAsia="en-GB"/>
        </w:rPr>
        <w:t xml:space="preserve"> </w:t>
      </w:r>
      <w:r w:rsidR="001A766E">
        <w:rPr>
          <w:rFonts w:eastAsia="Times New Roman" w:cs="Times New Roman"/>
          <w:color w:val="333333"/>
          <w:lang w:val="en-US" w:eastAsia="en-GB"/>
        </w:rPr>
        <w:br/>
      </w:r>
      <w:r w:rsidRPr="00447F4D">
        <w:rPr>
          <w:rFonts w:eastAsia="Times New Roman" w:cs="Times New Roman"/>
          <w:color w:val="333333"/>
          <w:lang w:val="en-US" w:eastAsia="en-GB"/>
        </w:rPr>
        <w:t>Angela Caley</w:t>
      </w:r>
      <w:r w:rsidR="001A766E" w:rsidRPr="001A766E">
        <w:rPr>
          <w:rFonts w:eastAsia="Times New Roman" w:cs="Times New Roman"/>
          <w:color w:val="333333"/>
          <w:lang w:val="en-US" w:eastAsia="en-GB"/>
        </w:rPr>
        <w:t xml:space="preserve">, </w:t>
      </w:r>
      <w:r w:rsidRPr="00447F4D">
        <w:rPr>
          <w:rFonts w:eastAsia="Times New Roman" w:cs="Times New Roman"/>
          <w:color w:val="333333"/>
          <w:lang w:val="en-US" w:eastAsia="en-GB"/>
        </w:rPr>
        <w:t>Tom Nickerson</w:t>
      </w:r>
    </w:p>
    <w:p w14:paraId="4DD3DFAF" w14:textId="77777777" w:rsidR="00E808F5" w:rsidRPr="001A766E" w:rsidRDefault="00E808F5" w:rsidP="001A766E">
      <w:pPr>
        <w:spacing w:line="240" w:lineRule="auto"/>
        <w:jc w:val="both"/>
      </w:pPr>
      <w:r w:rsidRPr="001A766E">
        <w:t>Parish Clerk – Helen Carrier</w:t>
      </w:r>
    </w:p>
    <w:p w14:paraId="54392C97" w14:textId="77777777" w:rsidR="00E808F5" w:rsidRPr="001A766E" w:rsidRDefault="00E808F5" w:rsidP="001A766E">
      <w:pPr>
        <w:spacing w:line="240" w:lineRule="auto"/>
        <w:jc w:val="both"/>
      </w:pPr>
    </w:p>
    <w:p w14:paraId="30708BE7" w14:textId="77777777" w:rsidR="008A6CF7" w:rsidRDefault="00E808F5" w:rsidP="001A766E">
      <w:pPr>
        <w:spacing w:line="240" w:lineRule="auto"/>
        <w:jc w:val="both"/>
      </w:pPr>
      <w:r w:rsidRPr="001A766E">
        <w:t>One member</w:t>
      </w:r>
      <w:r>
        <w:t xml:space="preserve"> of Public </w:t>
      </w:r>
    </w:p>
    <w:p w14:paraId="68B3D7BC" w14:textId="77777777" w:rsidR="00E808F5" w:rsidRDefault="00E808F5" w:rsidP="001A766E">
      <w:pPr>
        <w:jc w:val="both"/>
      </w:pPr>
    </w:p>
    <w:p w14:paraId="566837B0" w14:textId="77777777" w:rsidR="00E808F5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E808F5">
        <w:rPr>
          <w:b/>
        </w:rPr>
        <w:t>Accept apologies for absence</w:t>
      </w:r>
    </w:p>
    <w:p w14:paraId="772D4675" w14:textId="77777777" w:rsidR="00E808F5" w:rsidRDefault="00E808F5" w:rsidP="00447F4D">
      <w:pPr>
        <w:pStyle w:val="ListParagraph"/>
        <w:jc w:val="both"/>
      </w:pPr>
      <w:r>
        <w:t>No apologies for absence.</w:t>
      </w:r>
    </w:p>
    <w:p w14:paraId="1EF4E972" w14:textId="77777777" w:rsidR="00E808F5" w:rsidRPr="00E808F5" w:rsidRDefault="00E808F5" w:rsidP="00447F4D">
      <w:pPr>
        <w:pStyle w:val="ListParagraph"/>
        <w:jc w:val="both"/>
      </w:pPr>
    </w:p>
    <w:p w14:paraId="34AC8678" w14:textId="77777777" w:rsidR="00E808F5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E808F5">
        <w:rPr>
          <w:b/>
        </w:rPr>
        <w:t>Declaration of interest on agenda items</w:t>
      </w:r>
    </w:p>
    <w:p w14:paraId="59AF6B14" w14:textId="0D1F867B" w:rsidR="00E808F5" w:rsidRDefault="00E808F5" w:rsidP="00447F4D">
      <w:pPr>
        <w:pStyle w:val="ListParagraph"/>
        <w:jc w:val="both"/>
      </w:pPr>
      <w:r w:rsidRPr="00E808F5">
        <w:t>None.</w:t>
      </w:r>
    </w:p>
    <w:p w14:paraId="0D76CD9D" w14:textId="77777777" w:rsidR="00F5398F" w:rsidRPr="00E808F5" w:rsidRDefault="00F5398F" w:rsidP="00447F4D">
      <w:pPr>
        <w:pStyle w:val="ListParagraph"/>
        <w:jc w:val="both"/>
      </w:pPr>
    </w:p>
    <w:p w14:paraId="39ABD507" w14:textId="5E56A072" w:rsidR="00E808F5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E808F5">
        <w:rPr>
          <w:b/>
        </w:rPr>
        <w:t xml:space="preserve">Minutes of </w:t>
      </w:r>
      <w:r>
        <w:rPr>
          <w:b/>
        </w:rPr>
        <w:t xml:space="preserve">extra-ordinary </w:t>
      </w:r>
      <w:r w:rsidRPr="00E808F5">
        <w:rPr>
          <w:b/>
        </w:rPr>
        <w:t>meeting held on</w:t>
      </w:r>
      <w:r>
        <w:rPr>
          <w:b/>
        </w:rPr>
        <w:t xml:space="preserve"> </w:t>
      </w:r>
      <w:r w:rsidR="00F5398F">
        <w:rPr>
          <w:b/>
        </w:rPr>
        <w:t>Monday 29 August 2016.</w:t>
      </w:r>
    </w:p>
    <w:p w14:paraId="10184390" w14:textId="77777777" w:rsidR="00E808F5" w:rsidRDefault="00E808F5" w:rsidP="00447F4D">
      <w:pPr>
        <w:pStyle w:val="ListParagraph"/>
        <w:jc w:val="both"/>
      </w:pPr>
      <w:r>
        <w:t>Having been circulated previously, it was proposed and accepted that the minutes be agreed.</w:t>
      </w:r>
    </w:p>
    <w:p w14:paraId="0DE4B2DF" w14:textId="77777777" w:rsidR="00650ECD" w:rsidRDefault="00650ECD" w:rsidP="00447F4D">
      <w:pPr>
        <w:pStyle w:val="ListParagraph"/>
        <w:jc w:val="both"/>
      </w:pPr>
    </w:p>
    <w:p w14:paraId="19AEDA66" w14:textId="77777777" w:rsidR="00650ECD" w:rsidRDefault="00650ECD" w:rsidP="00447F4D">
      <w:pPr>
        <w:pStyle w:val="ListParagraph"/>
        <w:numPr>
          <w:ilvl w:val="0"/>
          <w:numId w:val="3"/>
        </w:numPr>
        <w:ind w:hanging="720"/>
        <w:jc w:val="both"/>
        <w:rPr>
          <w:b/>
        </w:rPr>
      </w:pPr>
      <w:r w:rsidRPr="00E808F5">
        <w:rPr>
          <w:b/>
        </w:rPr>
        <w:t>Planning</w:t>
      </w:r>
    </w:p>
    <w:p w14:paraId="63FD362C" w14:textId="77777777" w:rsidR="00650ECD" w:rsidRDefault="00650ECD" w:rsidP="00447F4D">
      <w:pPr>
        <w:pStyle w:val="ListParagraph"/>
        <w:jc w:val="both"/>
        <w:rPr>
          <w:b/>
        </w:rPr>
      </w:pPr>
      <w:r>
        <w:rPr>
          <w:b/>
        </w:rPr>
        <w:t>16/01522/F</w:t>
      </w:r>
    </w:p>
    <w:p w14:paraId="04141BE4" w14:textId="35BFD98B" w:rsidR="00650ECD" w:rsidRDefault="00447F4D" w:rsidP="00447F4D">
      <w:pPr>
        <w:pStyle w:val="ListParagraph"/>
        <w:jc w:val="both"/>
      </w:pPr>
      <w:r>
        <w:t>Everyone</w:t>
      </w:r>
      <w:r w:rsidR="00650ECD">
        <w:t xml:space="preserve"> agreed to discuss this after Item 3 to enable the member of public present to hear the discussion.  The Chairman invited the member of public present to express their view before Council made any decision.</w:t>
      </w:r>
    </w:p>
    <w:p w14:paraId="127EAE81" w14:textId="77777777" w:rsidR="00650ECD" w:rsidRDefault="00650ECD" w:rsidP="00447F4D">
      <w:pPr>
        <w:pStyle w:val="ListParagraph"/>
        <w:jc w:val="both"/>
      </w:pPr>
      <w:r w:rsidRPr="00650ECD">
        <w:t>After some discussion all agreed that a site visit was needed.  The Chairman would email the clerk the views of councillors before the final consulting date.</w:t>
      </w:r>
    </w:p>
    <w:p w14:paraId="20F958F1" w14:textId="77777777" w:rsidR="00E808F5" w:rsidRPr="00E808F5" w:rsidRDefault="00E808F5" w:rsidP="00447F4D">
      <w:pPr>
        <w:jc w:val="both"/>
      </w:pPr>
      <w:r>
        <w:t xml:space="preserve"> </w:t>
      </w:r>
    </w:p>
    <w:p w14:paraId="18D5D35F" w14:textId="77777777" w:rsidR="00E808F5" w:rsidRDefault="00E808F5" w:rsidP="00447F4D">
      <w:pPr>
        <w:pStyle w:val="ListParagraph"/>
        <w:numPr>
          <w:ilvl w:val="0"/>
          <w:numId w:val="4"/>
        </w:numPr>
        <w:ind w:hanging="720"/>
        <w:jc w:val="both"/>
        <w:rPr>
          <w:b/>
        </w:rPr>
      </w:pPr>
      <w:r w:rsidRPr="00E808F5">
        <w:rPr>
          <w:b/>
        </w:rPr>
        <w:t>Councillor Vacancy</w:t>
      </w:r>
    </w:p>
    <w:p w14:paraId="5E1A915E" w14:textId="77777777" w:rsidR="00E808F5" w:rsidRPr="00E808F5" w:rsidRDefault="00E808F5" w:rsidP="00447F4D">
      <w:pPr>
        <w:pStyle w:val="ListParagraph"/>
        <w:jc w:val="both"/>
      </w:pPr>
      <w:r w:rsidRPr="00E808F5">
        <w:t>The clerk has been informed by BCKLWN that no applications have been received and the vacancy is now open for co-option.</w:t>
      </w:r>
    </w:p>
    <w:p w14:paraId="3C47A348" w14:textId="77777777" w:rsidR="00E808F5" w:rsidRPr="00E808F5" w:rsidRDefault="00E808F5" w:rsidP="00447F4D">
      <w:pPr>
        <w:pStyle w:val="ListParagraph"/>
        <w:jc w:val="both"/>
        <w:rPr>
          <w:b/>
        </w:rPr>
      </w:pPr>
    </w:p>
    <w:p w14:paraId="234FDCB8" w14:textId="77777777" w:rsidR="00E808F5" w:rsidRDefault="00E808F5" w:rsidP="00447F4D">
      <w:pPr>
        <w:pStyle w:val="ListParagraph"/>
        <w:numPr>
          <w:ilvl w:val="0"/>
          <w:numId w:val="4"/>
        </w:numPr>
        <w:ind w:hanging="720"/>
        <w:jc w:val="both"/>
        <w:rPr>
          <w:b/>
        </w:rPr>
      </w:pPr>
      <w:r w:rsidRPr="00E808F5">
        <w:rPr>
          <w:b/>
        </w:rPr>
        <w:t>Report on progress on items not on the agenda</w:t>
      </w:r>
    </w:p>
    <w:p w14:paraId="49D35755" w14:textId="666664E3" w:rsidR="009043D5" w:rsidRDefault="009043D5" w:rsidP="00447F4D">
      <w:pPr>
        <w:pStyle w:val="ListParagraph"/>
        <w:jc w:val="both"/>
      </w:pPr>
      <w:r w:rsidRPr="009043D5">
        <w:t xml:space="preserve">Defibrillator – </w:t>
      </w:r>
      <w:r>
        <w:t xml:space="preserve"> a quiz is being held</w:t>
      </w:r>
      <w:r w:rsidR="0081579D">
        <w:t xml:space="preserve"> in The King’s Arms on Sunday 30 October at 7pm</w:t>
      </w:r>
      <w:r>
        <w:t xml:space="preserve"> to raise money for the cabinet.  </w:t>
      </w:r>
      <w:r w:rsidRPr="009043D5">
        <w:t xml:space="preserve">Cllr Caley </w:t>
      </w:r>
      <w:r>
        <w:t xml:space="preserve">asked </w:t>
      </w:r>
      <w:r w:rsidRPr="009043D5">
        <w:t>should we wait to order cabinet</w:t>
      </w:r>
      <w:r>
        <w:t xml:space="preserve"> until the extension at the school has been </w:t>
      </w:r>
      <w:r w:rsidR="00F74A04">
        <w:t>completed?</w:t>
      </w:r>
      <w:r w:rsidRPr="009043D5">
        <w:t xml:space="preserve"> </w:t>
      </w:r>
      <w:r>
        <w:t xml:space="preserve"> After some </w:t>
      </w:r>
      <w:r w:rsidR="00F74A04">
        <w:t>discussion</w:t>
      </w:r>
      <w:r>
        <w:t xml:space="preserve"> all </w:t>
      </w:r>
      <w:r w:rsidRPr="009043D5">
        <w:t xml:space="preserve">agreed to order the cabinet. </w:t>
      </w:r>
    </w:p>
    <w:p w14:paraId="4BCA4593" w14:textId="471DE34D" w:rsidR="00E808F5" w:rsidRPr="009043D5" w:rsidRDefault="00F74A04" w:rsidP="00447F4D">
      <w:pPr>
        <w:pStyle w:val="ListParagraph"/>
        <w:jc w:val="both"/>
      </w:pPr>
      <w:r>
        <w:t xml:space="preserve">Planings </w:t>
      </w:r>
      <w:r w:rsidR="009043D5">
        <w:t xml:space="preserve">Fairstead Drove – </w:t>
      </w:r>
      <w:r>
        <w:t xml:space="preserve">waiting for </w:t>
      </w:r>
      <w:r w:rsidR="0081579D">
        <w:t>return</w:t>
      </w:r>
      <w:r>
        <w:t xml:space="preserve"> of the roller. </w:t>
      </w:r>
      <w:r w:rsidR="009043D5" w:rsidRPr="009043D5">
        <w:t xml:space="preserve"> </w:t>
      </w:r>
    </w:p>
    <w:p w14:paraId="29DBEF3F" w14:textId="77777777" w:rsidR="009043D5" w:rsidRPr="00E808F5" w:rsidRDefault="009043D5" w:rsidP="00447F4D">
      <w:pPr>
        <w:pStyle w:val="ListParagraph"/>
        <w:jc w:val="both"/>
        <w:rPr>
          <w:b/>
        </w:rPr>
      </w:pPr>
    </w:p>
    <w:p w14:paraId="75760B5E" w14:textId="77777777" w:rsidR="00E808F5" w:rsidRDefault="00E808F5" w:rsidP="00447F4D">
      <w:pPr>
        <w:pStyle w:val="ListParagraph"/>
        <w:numPr>
          <w:ilvl w:val="0"/>
          <w:numId w:val="4"/>
        </w:numPr>
        <w:ind w:hanging="720"/>
        <w:jc w:val="both"/>
        <w:rPr>
          <w:b/>
        </w:rPr>
      </w:pPr>
      <w:r w:rsidRPr="00E808F5">
        <w:rPr>
          <w:b/>
        </w:rPr>
        <w:t>Correspondence</w:t>
      </w:r>
    </w:p>
    <w:p w14:paraId="4C9EF9ED" w14:textId="77777777" w:rsidR="00F74A04" w:rsidRDefault="00F74A04" w:rsidP="00447F4D">
      <w:pPr>
        <w:pStyle w:val="ListParagraph"/>
        <w:jc w:val="both"/>
      </w:pPr>
      <w:r w:rsidRPr="00F74A04">
        <w:t>The Clerk read out correspondence all of which was for information.</w:t>
      </w:r>
    </w:p>
    <w:p w14:paraId="09E6DEC7" w14:textId="77777777" w:rsidR="00650ECD" w:rsidRDefault="00650ECD" w:rsidP="00447F4D">
      <w:pPr>
        <w:jc w:val="both"/>
      </w:pPr>
      <w:r>
        <w:br w:type="page"/>
      </w:r>
    </w:p>
    <w:p w14:paraId="78FD3E6C" w14:textId="77777777" w:rsidR="00E808F5" w:rsidRDefault="00E808F5" w:rsidP="00447F4D">
      <w:pPr>
        <w:pStyle w:val="ListParagraph"/>
        <w:numPr>
          <w:ilvl w:val="0"/>
          <w:numId w:val="4"/>
        </w:numPr>
        <w:ind w:hanging="720"/>
        <w:jc w:val="both"/>
        <w:rPr>
          <w:b/>
        </w:rPr>
      </w:pPr>
      <w:r w:rsidRPr="00E808F5">
        <w:rPr>
          <w:b/>
        </w:rPr>
        <w:lastRenderedPageBreak/>
        <w:t>To approve monthly payments</w:t>
      </w:r>
    </w:p>
    <w:p w14:paraId="2650B60A" w14:textId="77777777" w:rsidR="00F74A04" w:rsidRDefault="00F74A04" w:rsidP="00447F4D">
      <w:pPr>
        <w:pStyle w:val="ListParagraph"/>
        <w:jc w:val="both"/>
        <w:rPr>
          <w:b/>
        </w:rPr>
      </w:pPr>
    </w:p>
    <w:tbl>
      <w:tblPr>
        <w:tblW w:w="8238" w:type="dxa"/>
        <w:tblInd w:w="720" w:type="dxa"/>
        <w:tblLook w:val="04A0" w:firstRow="1" w:lastRow="0" w:firstColumn="1" w:lastColumn="0" w:noHBand="0" w:noVBand="1"/>
      </w:tblPr>
      <w:tblGrid>
        <w:gridCol w:w="1580"/>
        <w:gridCol w:w="3954"/>
        <w:gridCol w:w="830"/>
        <w:gridCol w:w="873"/>
        <w:gridCol w:w="1001"/>
      </w:tblGrid>
      <w:tr w:rsidR="00F74A04" w:rsidRPr="00F74A04" w14:paraId="3D265A20" w14:textId="77777777" w:rsidTr="00F74A0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45A67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Name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CE0D0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Description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9324C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Price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B95C9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VAT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E4193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</w:tr>
      <w:tr w:rsidR="00F74A04" w:rsidRPr="00F74A04" w14:paraId="2C4BF1DA" w14:textId="77777777" w:rsidTr="0081579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C6089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Utility Warehouse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01242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August Electricity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2114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9.88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6D176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</w:t>
            </w: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.79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637F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10.67 </w:t>
            </w:r>
          </w:p>
        </w:tc>
      </w:tr>
      <w:tr w:rsidR="00F74A04" w:rsidRPr="00F74A04" w14:paraId="7F506F53" w14:textId="77777777" w:rsidTr="0081579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A15A1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Anglian Water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AEBB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Water Supply 8 April - 26 July 2016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35D8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52.31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6673F" w14:textId="0BACAE75" w:rsidR="00F74A04" w:rsidRPr="00F74A04" w:rsidRDefault="0081579D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DC8A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152.31 </w:t>
            </w:r>
          </w:p>
        </w:tc>
      </w:tr>
      <w:tr w:rsidR="00F74A04" w:rsidRPr="00F74A04" w14:paraId="563F21FC" w14:textId="77777777" w:rsidTr="0081579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B126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CGM Group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7CB28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August Grounds Maintenance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99AE5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83.37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8031B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36.67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FA53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220.04 </w:t>
            </w:r>
          </w:p>
        </w:tc>
      </w:tr>
      <w:tr w:rsidR="00F74A04" w:rsidRPr="00F74A04" w14:paraId="482D3068" w14:textId="77777777" w:rsidTr="0081579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7A699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Keith Matthews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F248E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Tarmac Pla</w:t>
            </w: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nings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47C8" w14:textId="6A856C33" w:rsidR="00F74A04" w:rsidRPr="00F74A04" w:rsidRDefault="0081579D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F74A04"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78.00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0A896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75.60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4FAB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453.60 </w:t>
            </w:r>
          </w:p>
        </w:tc>
      </w:tr>
      <w:tr w:rsidR="00F74A04" w:rsidRPr="00F74A04" w14:paraId="6E4CD35F" w14:textId="77777777" w:rsidTr="0081579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6E518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Dave Bevan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F7EFF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Paving Slabs for gents toilet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B5BC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26.39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B083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5.28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74271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31.67 </w:t>
            </w:r>
          </w:p>
        </w:tc>
      </w:tr>
      <w:tr w:rsidR="00F74A04" w:rsidRPr="00F74A04" w14:paraId="1336213C" w14:textId="77777777" w:rsidTr="0081579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5DA0D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Utility Warehouse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E5FC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September Electricity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5D668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39.25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F0FCC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2.26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F1E7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41.51 </w:t>
            </w:r>
          </w:p>
        </w:tc>
      </w:tr>
      <w:tr w:rsidR="00F74A04" w:rsidRPr="00F74A04" w14:paraId="7BF49CCA" w14:textId="77777777" w:rsidTr="0081579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A715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Norfolk ALC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79184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Annual Subscription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65A55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138.92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43F81" w14:textId="6A627EF8" w:rsidR="00F74A04" w:rsidRPr="00F74A04" w:rsidRDefault="0081579D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FC6C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138.92 </w:t>
            </w:r>
          </w:p>
        </w:tc>
      </w:tr>
      <w:tr w:rsidR="00F74A04" w:rsidRPr="00F74A04" w14:paraId="25FA7E95" w14:textId="77777777" w:rsidTr="0081579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FDE40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Valerie Negus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3A9B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Clerks Salary and Expenses to end of August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21CD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447.17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98FA" w14:textId="7476AD93" w:rsidR="00F74A04" w:rsidRPr="00F74A04" w:rsidRDefault="0081579D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910C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447.17 </w:t>
            </w:r>
          </w:p>
        </w:tc>
      </w:tr>
      <w:tr w:rsidR="00F74A04" w:rsidRPr="00F74A04" w14:paraId="0162013C" w14:textId="77777777" w:rsidTr="0081579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6F279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Fields in Trust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0C559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Membership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ECC7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50.00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7B77" w14:textId="1C609998" w:rsidR="00F74A04" w:rsidRPr="00F74A04" w:rsidRDefault="0081579D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50BC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</w:tr>
      <w:tr w:rsidR="00F74A04" w:rsidRPr="00F74A04" w14:paraId="325A82A4" w14:textId="77777777" w:rsidTr="0081579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61278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Shouldham Village Hall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5DDC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Hire fees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A537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33.00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FA83" w14:textId="7B7D5E00" w:rsidR="00F74A04" w:rsidRPr="00F74A04" w:rsidRDefault="0081579D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2AA9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33.00 </w:t>
            </w:r>
          </w:p>
        </w:tc>
      </w:tr>
      <w:tr w:rsidR="00F74A04" w:rsidRPr="00F74A04" w14:paraId="31330D2F" w14:textId="77777777" w:rsidTr="0081579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A0F9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Helen Carrier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650AA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>Purchase of Laptop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6C4A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332.49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42740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66.50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B051" w14:textId="77777777" w:rsidR="00F74A04" w:rsidRPr="00F74A04" w:rsidRDefault="00F74A04" w:rsidP="0081579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398.99 </w:t>
            </w:r>
          </w:p>
        </w:tc>
      </w:tr>
      <w:tr w:rsidR="00F74A04" w:rsidRPr="00F74A04" w14:paraId="561BE2A1" w14:textId="77777777" w:rsidTr="00F74A0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A45C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208E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DE33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12AE" w14:textId="77777777" w:rsidR="00F74A04" w:rsidRPr="00F74A04" w:rsidRDefault="00F74A04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74A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  <w:r w:rsidRPr="00F74A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OTAL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9A57" w14:textId="300E84B3" w:rsidR="00F74A04" w:rsidRPr="00F74A04" w:rsidRDefault="0081579D" w:rsidP="00447F4D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1977.88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end"/>
            </w:r>
          </w:p>
        </w:tc>
      </w:tr>
    </w:tbl>
    <w:p w14:paraId="06D23154" w14:textId="77777777" w:rsidR="00650ECD" w:rsidRPr="00E808F5" w:rsidRDefault="00650ECD" w:rsidP="00447F4D">
      <w:pPr>
        <w:pStyle w:val="ListParagraph"/>
        <w:jc w:val="both"/>
        <w:rPr>
          <w:b/>
        </w:rPr>
      </w:pPr>
    </w:p>
    <w:p w14:paraId="48BB1A23" w14:textId="77777777" w:rsidR="00E808F5" w:rsidRDefault="00E808F5" w:rsidP="00447F4D">
      <w:pPr>
        <w:pStyle w:val="ListParagraph"/>
        <w:numPr>
          <w:ilvl w:val="0"/>
          <w:numId w:val="5"/>
        </w:numPr>
        <w:ind w:hanging="720"/>
        <w:jc w:val="both"/>
        <w:rPr>
          <w:b/>
        </w:rPr>
      </w:pPr>
      <w:r w:rsidRPr="00E808F5">
        <w:rPr>
          <w:b/>
        </w:rPr>
        <w:t>Highways</w:t>
      </w:r>
    </w:p>
    <w:p w14:paraId="4CE69A83" w14:textId="77777777" w:rsidR="00650ECD" w:rsidRPr="000A079A" w:rsidRDefault="00650ECD" w:rsidP="00447F4D">
      <w:pPr>
        <w:pStyle w:val="ListParagraph"/>
        <w:jc w:val="both"/>
      </w:pPr>
      <w:r w:rsidRPr="000A079A">
        <w:t>Pot holes were reported at the junction of the A134 turning left from King’s Lynn and junction</w:t>
      </w:r>
      <w:r w:rsidR="000A079A" w:rsidRPr="000A079A">
        <w:t xml:space="preserve"> on the green.  </w:t>
      </w:r>
    </w:p>
    <w:p w14:paraId="45C27FB6" w14:textId="77777777" w:rsidR="000A079A" w:rsidRDefault="000A079A" w:rsidP="00447F4D">
      <w:pPr>
        <w:pStyle w:val="ListParagraph"/>
        <w:jc w:val="both"/>
      </w:pPr>
      <w:r w:rsidRPr="000A079A">
        <w:t>There is a broken kerb at the south east corner of the green.</w:t>
      </w:r>
    </w:p>
    <w:p w14:paraId="51AA4714" w14:textId="77777777" w:rsidR="000A079A" w:rsidRDefault="000A079A" w:rsidP="00447F4D">
      <w:pPr>
        <w:pStyle w:val="ListParagraph"/>
        <w:jc w:val="both"/>
      </w:pPr>
      <w:r>
        <w:t>The dyke between the village hall and the care home needs clearing.  Cllr Gascoyne will arrange slubbing out of the duke.</w:t>
      </w:r>
    </w:p>
    <w:p w14:paraId="0C759B91" w14:textId="77777777" w:rsidR="000A079A" w:rsidRPr="000A079A" w:rsidRDefault="000A079A" w:rsidP="00447F4D">
      <w:pPr>
        <w:pStyle w:val="ListParagraph"/>
        <w:jc w:val="both"/>
      </w:pPr>
    </w:p>
    <w:p w14:paraId="16DDC03A" w14:textId="77777777" w:rsidR="00E808F5" w:rsidRDefault="00E808F5" w:rsidP="00447F4D">
      <w:pPr>
        <w:pStyle w:val="ListParagraph"/>
        <w:numPr>
          <w:ilvl w:val="0"/>
          <w:numId w:val="5"/>
        </w:numPr>
        <w:ind w:hanging="720"/>
        <w:jc w:val="both"/>
        <w:rPr>
          <w:b/>
        </w:rPr>
      </w:pPr>
      <w:r w:rsidRPr="00E808F5">
        <w:rPr>
          <w:b/>
        </w:rPr>
        <w:t>Play area repairs</w:t>
      </w:r>
    </w:p>
    <w:p w14:paraId="54242D89" w14:textId="77777777" w:rsidR="000A079A" w:rsidRDefault="000A079A" w:rsidP="00447F4D">
      <w:pPr>
        <w:pStyle w:val="ListParagraph"/>
        <w:jc w:val="both"/>
      </w:pPr>
      <w:r w:rsidRPr="000A079A">
        <w:t xml:space="preserve">Cllr Nickerson will inspect the </w:t>
      </w:r>
      <w:r w:rsidR="00447F4D" w:rsidRPr="000A079A">
        <w:t>findings and</w:t>
      </w:r>
      <w:r w:rsidRPr="000A079A">
        <w:t xml:space="preserve"> report back at </w:t>
      </w:r>
      <w:r w:rsidR="00447F4D" w:rsidRPr="000A079A">
        <w:t>the next</w:t>
      </w:r>
      <w:r w:rsidRPr="000A079A">
        <w:t xml:space="preserve"> meeting.</w:t>
      </w:r>
    </w:p>
    <w:p w14:paraId="0AF3D104" w14:textId="77777777" w:rsidR="000A079A" w:rsidRPr="000A079A" w:rsidRDefault="000A079A" w:rsidP="00447F4D">
      <w:pPr>
        <w:pStyle w:val="ListParagraph"/>
        <w:jc w:val="both"/>
      </w:pPr>
      <w:r>
        <w:t xml:space="preserve">A member of public and emailed in to complain of dogs, not on leads, approaching children at the play area.  It was agreed that the Clerk would </w:t>
      </w:r>
      <w:r w:rsidR="00447F4D">
        <w:t>contact</w:t>
      </w:r>
      <w:r>
        <w:t xml:space="preserve"> BCKLWN for advice and would place a notice in the newsletter asking dog owners to keep dogs under control while on the </w:t>
      </w:r>
      <w:r w:rsidR="00447F4D">
        <w:t>playing</w:t>
      </w:r>
      <w:r>
        <w:t xml:space="preserve"> field.</w:t>
      </w:r>
    </w:p>
    <w:p w14:paraId="46A63DAD" w14:textId="77777777" w:rsidR="000A079A" w:rsidRPr="00E808F5" w:rsidRDefault="000A079A" w:rsidP="00447F4D">
      <w:pPr>
        <w:pStyle w:val="ListParagraph"/>
        <w:jc w:val="both"/>
        <w:rPr>
          <w:b/>
        </w:rPr>
      </w:pPr>
    </w:p>
    <w:p w14:paraId="7298EAAA" w14:textId="77777777" w:rsidR="00E808F5" w:rsidRDefault="00E808F5" w:rsidP="00447F4D">
      <w:pPr>
        <w:pStyle w:val="ListParagraph"/>
        <w:numPr>
          <w:ilvl w:val="0"/>
          <w:numId w:val="5"/>
        </w:numPr>
        <w:ind w:hanging="720"/>
        <w:jc w:val="both"/>
        <w:rPr>
          <w:b/>
        </w:rPr>
      </w:pPr>
      <w:r w:rsidRPr="00E808F5">
        <w:rPr>
          <w:b/>
        </w:rPr>
        <w:t>Parish Partnership</w:t>
      </w:r>
    </w:p>
    <w:p w14:paraId="6F6F6D46" w14:textId="77777777" w:rsidR="000A079A" w:rsidRPr="000A079A" w:rsidRDefault="000A079A" w:rsidP="00447F4D">
      <w:pPr>
        <w:pStyle w:val="ListParagraph"/>
        <w:jc w:val="both"/>
      </w:pPr>
      <w:r w:rsidRPr="000A079A">
        <w:t>Defer to next meeting.</w:t>
      </w:r>
    </w:p>
    <w:p w14:paraId="20BFF777" w14:textId="77777777" w:rsidR="000A079A" w:rsidRDefault="000A079A" w:rsidP="00447F4D">
      <w:pPr>
        <w:pStyle w:val="ListParagraph"/>
        <w:jc w:val="both"/>
        <w:rPr>
          <w:b/>
        </w:rPr>
      </w:pPr>
    </w:p>
    <w:p w14:paraId="7F854C65" w14:textId="77777777" w:rsidR="00E808F5" w:rsidRDefault="00E808F5" w:rsidP="00447F4D">
      <w:pPr>
        <w:pStyle w:val="ListParagraph"/>
        <w:numPr>
          <w:ilvl w:val="0"/>
          <w:numId w:val="5"/>
        </w:numPr>
        <w:ind w:hanging="720"/>
        <w:jc w:val="both"/>
        <w:rPr>
          <w:b/>
        </w:rPr>
      </w:pPr>
      <w:r w:rsidRPr="00E808F5">
        <w:rPr>
          <w:b/>
        </w:rPr>
        <w:t>Transparency Fund application</w:t>
      </w:r>
    </w:p>
    <w:p w14:paraId="37D0B96D" w14:textId="77777777" w:rsidR="000A079A" w:rsidRPr="000A079A" w:rsidRDefault="000A079A" w:rsidP="00447F4D">
      <w:pPr>
        <w:pStyle w:val="ListParagraph"/>
        <w:jc w:val="both"/>
      </w:pPr>
      <w:r w:rsidRPr="000A079A">
        <w:t>The Clerk reported that £418 had been received and a new laptop has been purchased.</w:t>
      </w:r>
    </w:p>
    <w:p w14:paraId="5D665274" w14:textId="77777777" w:rsidR="000A079A" w:rsidRPr="00E808F5" w:rsidRDefault="000A079A" w:rsidP="00447F4D">
      <w:pPr>
        <w:pStyle w:val="ListParagraph"/>
        <w:jc w:val="both"/>
        <w:rPr>
          <w:b/>
        </w:rPr>
      </w:pPr>
    </w:p>
    <w:p w14:paraId="39760D66" w14:textId="77777777" w:rsidR="00E808F5" w:rsidRDefault="00E808F5" w:rsidP="00447F4D">
      <w:pPr>
        <w:pStyle w:val="ListParagraph"/>
        <w:numPr>
          <w:ilvl w:val="0"/>
          <w:numId w:val="5"/>
        </w:numPr>
        <w:ind w:hanging="720"/>
        <w:jc w:val="both"/>
        <w:rPr>
          <w:b/>
        </w:rPr>
      </w:pPr>
      <w:r w:rsidRPr="00E808F5">
        <w:rPr>
          <w:b/>
        </w:rPr>
        <w:t>Forestry paths</w:t>
      </w:r>
    </w:p>
    <w:p w14:paraId="00ECD30E" w14:textId="77777777" w:rsidR="000A079A" w:rsidRPr="00447F4D" w:rsidRDefault="000A079A" w:rsidP="00447F4D">
      <w:pPr>
        <w:pStyle w:val="ListParagraph"/>
        <w:jc w:val="both"/>
      </w:pPr>
      <w:r w:rsidRPr="00447F4D">
        <w:t>The clerk read out the emails received.</w:t>
      </w:r>
    </w:p>
    <w:p w14:paraId="18698120" w14:textId="77777777" w:rsidR="000A079A" w:rsidRPr="00E808F5" w:rsidRDefault="000A079A" w:rsidP="00447F4D">
      <w:pPr>
        <w:pStyle w:val="ListParagraph"/>
        <w:jc w:val="both"/>
        <w:rPr>
          <w:b/>
        </w:rPr>
      </w:pPr>
    </w:p>
    <w:p w14:paraId="228B7594" w14:textId="77777777" w:rsidR="00E808F5" w:rsidRDefault="00E808F5" w:rsidP="00447F4D">
      <w:pPr>
        <w:pStyle w:val="ListParagraph"/>
        <w:numPr>
          <w:ilvl w:val="0"/>
          <w:numId w:val="5"/>
        </w:numPr>
        <w:ind w:hanging="720"/>
        <w:jc w:val="both"/>
        <w:rPr>
          <w:b/>
        </w:rPr>
      </w:pPr>
      <w:r w:rsidRPr="00E808F5">
        <w:rPr>
          <w:b/>
        </w:rPr>
        <w:t>Bench – Chalk and Cheese</w:t>
      </w:r>
    </w:p>
    <w:p w14:paraId="5B2A82A6" w14:textId="77777777" w:rsidR="000A079A" w:rsidRPr="00447F4D" w:rsidRDefault="000A079A" w:rsidP="00447F4D">
      <w:pPr>
        <w:pStyle w:val="ListParagraph"/>
        <w:jc w:val="both"/>
      </w:pPr>
      <w:r w:rsidRPr="00447F4D">
        <w:t>It was all agreed that Andrew Archibald could purchase a bench for the use of people waiting for the bus stop.</w:t>
      </w:r>
    </w:p>
    <w:p w14:paraId="08E2EE44" w14:textId="77777777" w:rsidR="000A079A" w:rsidRPr="00E808F5" w:rsidRDefault="000A079A" w:rsidP="00447F4D">
      <w:pPr>
        <w:pStyle w:val="ListParagraph"/>
        <w:jc w:val="both"/>
        <w:rPr>
          <w:b/>
        </w:rPr>
      </w:pPr>
    </w:p>
    <w:p w14:paraId="04DB5B4F" w14:textId="77777777" w:rsidR="00E808F5" w:rsidRDefault="00E808F5" w:rsidP="00447F4D">
      <w:pPr>
        <w:pStyle w:val="ListParagraph"/>
        <w:numPr>
          <w:ilvl w:val="0"/>
          <w:numId w:val="5"/>
        </w:numPr>
        <w:ind w:hanging="720"/>
        <w:jc w:val="both"/>
        <w:rPr>
          <w:b/>
        </w:rPr>
      </w:pPr>
      <w:r w:rsidRPr="00E808F5">
        <w:rPr>
          <w:b/>
        </w:rPr>
        <w:lastRenderedPageBreak/>
        <w:t xml:space="preserve">Autumn </w:t>
      </w:r>
      <w:r w:rsidR="00F74A04" w:rsidRPr="00E808F5">
        <w:rPr>
          <w:b/>
        </w:rPr>
        <w:t>Newsletter</w:t>
      </w:r>
    </w:p>
    <w:p w14:paraId="6E4A8671" w14:textId="77777777" w:rsidR="000A079A" w:rsidRPr="00447F4D" w:rsidRDefault="00447F4D" w:rsidP="00447F4D">
      <w:pPr>
        <w:pStyle w:val="ListParagraph"/>
        <w:jc w:val="both"/>
      </w:pPr>
      <w:r w:rsidRPr="00447F4D">
        <w:t xml:space="preserve">The Clerk will place an article in the newsletter asking names to be forwarded for anyone who would like </w:t>
      </w:r>
      <w:r>
        <w:t>to the attend the Senior Citiz</w:t>
      </w:r>
      <w:r w:rsidRPr="00447F4D">
        <w:t>ens lunch hosted by RAF Marham.</w:t>
      </w:r>
    </w:p>
    <w:p w14:paraId="3C14855A" w14:textId="77777777" w:rsidR="00447F4D" w:rsidRPr="00E808F5" w:rsidRDefault="00447F4D" w:rsidP="00447F4D">
      <w:pPr>
        <w:pStyle w:val="ListParagraph"/>
        <w:jc w:val="both"/>
        <w:rPr>
          <w:b/>
        </w:rPr>
      </w:pPr>
    </w:p>
    <w:p w14:paraId="7A4CA189" w14:textId="77777777" w:rsidR="00E808F5" w:rsidRDefault="00E808F5" w:rsidP="00447F4D">
      <w:pPr>
        <w:pStyle w:val="ListParagraph"/>
        <w:numPr>
          <w:ilvl w:val="0"/>
          <w:numId w:val="5"/>
        </w:numPr>
        <w:ind w:hanging="720"/>
        <w:jc w:val="both"/>
        <w:rPr>
          <w:b/>
        </w:rPr>
      </w:pPr>
      <w:r w:rsidRPr="00E808F5">
        <w:rPr>
          <w:b/>
        </w:rPr>
        <w:t>To propose agenda items</w:t>
      </w:r>
    </w:p>
    <w:p w14:paraId="68DE0EC9" w14:textId="77777777" w:rsidR="00447F4D" w:rsidRPr="00447F4D" w:rsidRDefault="00447F4D" w:rsidP="00447F4D">
      <w:pPr>
        <w:pStyle w:val="ListParagraph"/>
        <w:numPr>
          <w:ilvl w:val="0"/>
          <w:numId w:val="6"/>
        </w:numPr>
        <w:jc w:val="both"/>
      </w:pPr>
      <w:r w:rsidRPr="00447F4D">
        <w:t>Village Car Park</w:t>
      </w:r>
    </w:p>
    <w:p w14:paraId="29EA2557" w14:textId="77777777" w:rsidR="00447F4D" w:rsidRPr="00447F4D" w:rsidRDefault="00447F4D" w:rsidP="00447F4D">
      <w:pPr>
        <w:pStyle w:val="ListParagraph"/>
        <w:numPr>
          <w:ilvl w:val="0"/>
          <w:numId w:val="6"/>
        </w:numPr>
        <w:jc w:val="both"/>
      </w:pPr>
      <w:r w:rsidRPr="00447F4D">
        <w:t>Speed – Westgate Street.</w:t>
      </w:r>
    </w:p>
    <w:p w14:paraId="16A738CC" w14:textId="77777777" w:rsidR="00447F4D" w:rsidRPr="00E808F5" w:rsidRDefault="00447F4D" w:rsidP="00447F4D">
      <w:pPr>
        <w:pStyle w:val="ListParagraph"/>
        <w:ind w:left="1440"/>
        <w:jc w:val="both"/>
        <w:rPr>
          <w:b/>
        </w:rPr>
      </w:pPr>
    </w:p>
    <w:p w14:paraId="283ABACF" w14:textId="77777777" w:rsidR="00E808F5" w:rsidRDefault="00E808F5" w:rsidP="00447F4D">
      <w:pPr>
        <w:pStyle w:val="ListParagraph"/>
        <w:numPr>
          <w:ilvl w:val="0"/>
          <w:numId w:val="5"/>
        </w:numPr>
        <w:ind w:hanging="720"/>
        <w:jc w:val="both"/>
        <w:rPr>
          <w:b/>
        </w:rPr>
      </w:pPr>
      <w:r w:rsidRPr="00E808F5">
        <w:rPr>
          <w:b/>
        </w:rPr>
        <w:t>Any other business</w:t>
      </w:r>
    </w:p>
    <w:p w14:paraId="701D62B9" w14:textId="77777777" w:rsidR="00447F4D" w:rsidRPr="00447F4D" w:rsidRDefault="00447F4D" w:rsidP="00447F4D">
      <w:pPr>
        <w:pStyle w:val="ListParagraph"/>
        <w:jc w:val="both"/>
      </w:pPr>
      <w:r w:rsidRPr="00447F4D">
        <w:t>SAM 2 sign – ne</w:t>
      </w:r>
      <w:r w:rsidR="001A766E">
        <w:t>w</w:t>
      </w:r>
      <w:r w:rsidRPr="00447F4D">
        <w:t xml:space="preserve"> screw needed.</w:t>
      </w:r>
    </w:p>
    <w:p w14:paraId="32615702" w14:textId="77777777" w:rsidR="00447F4D" w:rsidRPr="00E808F5" w:rsidRDefault="00447F4D" w:rsidP="00447F4D">
      <w:pPr>
        <w:pStyle w:val="ListParagraph"/>
        <w:jc w:val="both"/>
        <w:rPr>
          <w:b/>
        </w:rPr>
      </w:pPr>
    </w:p>
    <w:p w14:paraId="5B53AEAF" w14:textId="77777777" w:rsidR="00E808F5" w:rsidRDefault="00E808F5" w:rsidP="00447F4D">
      <w:pPr>
        <w:pStyle w:val="ListParagraph"/>
        <w:numPr>
          <w:ilvl w:val="0"/>
          <w:numId w:val="5"/>
        </w:numPr>
        <w:ind w:hanging="720"/>
        <w:jc w:val="both"/>
      </w:pPr>
      <w:r w:rsidRPr="00447F4D">
        <w:t xml:space="preserve">Confirm date of next </w:t>
      </w:r>
      <w:r>
        <w:t>meeting Monday 17 October 2016</w:t>
      </w:r>
      <w:r w:rsidR="00447F4D">
        <w:t xml:space="preserve"> at 7.30pm in Shouldham Village Hall.</w:t>
      </w:r>
    </w:p>
    <w:p w14:paraId="346149F0" w14:textId="77777777" w:rsidR="00447F4D" w:rsidRDefault="00447F4D" w:rsidP="00447F4D">
      <w:pPr>
        <w:jc w:val="both"/>
      </w:pPr>
    </w:p>
    <w:p w14:paraId="135E5847" w14:textId="77777777" w:rsidR="00447F4D" w:rsidRDefault="00447F4D" w:rsidP="00447F4D">
      <w:pPr>
        <w:jc w:val="both"/>
      </w:pPr>
      <w:r>
        <w:t>Meeting closed at 8.55pm.</w:t>
      </w:r>
    </w:p>
    <w:p w14:paraId="256D5856" w14:textId="77777777" w:rsidR="00447F4D" w:rsidRDefault="00447F4D" w:rsidP="00447F4D">
      <w:pPr>
        <w:jc w:val="both"/>
      </w:pPr>
    </w:p>
    <w:p w14:paraId="6EE2AC16" w14:textId="77777777" w:rsidR="00447F4D" w:rsidRDefault="00447F4D" w:rsidP="00447F4D">
      <w:pPr>
        <w:tabs>
          <w:tab w:val="right" w:leader="dot" w:pos="4320"/>
        </w:tabs>
        <w:jc w:val="both"/>
      </w:pPr>
      <w:r>
        <w:t>Chairman</w:t>
      </w:r>
      <w:r>
        <w:tab/>
      </w:r>
    </w:p>
    <w:p w14:paraId="08F0C7D3" w14:textId="77777777" w:rsidR="00447F4D" w:rsidRDefault="00447F4D" w:rsidP="00447F4D">
      <w:pPr>
        <w:tabs>
          <w:tab w:val="right" w:leader="dot" w:pos="4320"/>
        </w:tabs>
        <w:jc w:val="both"/>
      </w:pPr>
    </w:p>
    <w:p w14:paraId="182E98A3" w14:textId="77777777" w:rsidR="00447F4D" w:rsidRDefault="00447F4D" w:rsidP="00447F4D">
      <w:pPr>
        <w:tabs>
          <w:tab w:val="right" w:leader="dot" w:pos="4320"/>
        </w:tabs>
        <w:jc w:val="both"/>
      </w:pPr>
      <w:r>
        <w:t>Date</w:t>
      </w:r>
      <w:r>
        <w:tab/>
      </w:r>
    </w:p>
    <w:p w14:paraId="4EA2546B" w14:textId="77777777" w:rsidR="00447F4D" w:rsidRDefault="00447F4D" w:rsidP="00447F4D">
      <w:pPr>
        <w:jc w:val="both"/>
      </w:pPr>
    </w:p>
    <w:p w14:paraId="448D7758" w14:textId="77777777" w:rsidR="00447F4D" w:rsidRDefault="00447F4D" w:rsidP="00447F4D"/>
    <w:p w14:paraId="02284915" w14:textId="77777777" w:rsidR="00447F4D" w:rsidRDefault="00447F4D" w:rsidP="00447F4D"/>
    <w:p w14:paraId="5E88637F" w14:textId="77777777" w:rsidR="00447F4D" w:rsidRDefault="00447F4D" w:rsidP="00447F4D"/>
    <w:p w14:paraId="315DFA2C" w14:textId="77777777" w:rsidR="00447F4D" w:rsidRDefault="00447F4D" w:rsidP="00447F4D"/>
    <w:p w14:paraId="7D533E33" w14:textId="77777777" w:rsidR="00447F4D" w:rsidRDefault="00447F4D" w:rsidP="00447F4D"/>
    <w:p w14:paraId="7D863105" w14:textId="77777777" w:rsidR="00447F4D" w:rsidRDefault="00447F4D" w:rsidP="00447F4D"/>
    <w:p w14:paraId="20138ED2" w14:textId="77777777" w:rsidR="00447F4D" w:rsidRDefault="00447F4D" w:rsidP="00447F4D"/>
    <w:p w14:paraId="295AC776" w14:textId="77777777" w:rsidR="00447F4D" w:rsidRDefault="00447F4D" w:rsidP="00447F4D"/>
    <w:p w14:paraId="1AA2C40C" w14:textId="77777777" w:rsidR="00447F4D" w:rsidRDefault="00447F4D" w:rsidP="00447F4D"/>
    <w:p w14:paraId="7147D374" w14:textId="77777777" w:rsidR="00447F4D" w:rsidRDefault="00447F4D" w:rsidP="00447F4D"/>
    <w:p w14:paraId="6B87F3D6" w14:textId="77777777" w:rsidR="00447F4D" w:rsidRDefault="00447F4D" w:rsidP="00447F4D"/>
    <w:p w14:paraId="59A24BC2" w14:textId="77777777" w:rsidR="00447F4D" w:rsidRDefault="00447F4D" w:rsidP="00447F4D"/>
    <w:p w14:paraId="4241246C" w14:textId="77777777" w:rsidR="00447F4D" w:rsidRDefault="00447F4D" w:rsidP="00447F4D"/>
    <w:p w14:paraId="581F1FFF" w14:textId="77777777" w:rsidR="00447F4D" w:rsidRDefault="00447F4D" w:rsidP="00447F4D"/>
    <w:p w14:paraId="3D1B4E88" w14:textId="77777777" w:rsidR="00447F4D" w:rsidRDefault="00447F4D" w:rsidP="00447F4D"/>
    <w:p w14:paraId="5BA08987" w14:textId="77777777" w:rsidR="00447F4D" w:rsidRDefault="00447F4D" w:rsidP="00447F4D"/>
    <w:p w14:paraId="38C8DCE1" w14:textId="77777777" w:rsidR="00447F4D" w:rsidRDefault="00447F4D" w:rsidP="00447F4D"/>
    <w:p w14:paraId="0CCE7F9B" w14:textId="77777777" w:rsidR="00447F4D" w:rsidRDefault="00447F4D" w:rsidP="00447F4D"/>
    <w:p w14:paraId="690204F2" w14:textId="77777777" w:rsidR="00447F4D" w:rsidRDefault="00447F4D" w:rsidP="00447F4D"/>
    <w:p w14:paraId="0D849521" w14:textId="77777777" w:rsidR="00447F4D" w:rsidRDefault="00447F4D" w:rsidP="00447F4D"/>
    <w:p w14:paraId="3259C4F7" w14:textId="77777777" w:rsidR="00447F4D" w:rsidRDefault="00447F4D" w:rsidP="00447F4D"/>
    <w:p w14:paraId="38E6177D" w14:textId="77777777" w:rsidR="00447F4D" w:rsidRDefault="00447F4D" w:rsidP="00447F4D"/>
    <w:p w14:paraId="6E1FF57E" w14:textId="77777777" w:rsidR="00447F4D" w:rsidRDefault="00447F4D" w:rsidP="00447F4D"/>
    <w:p w14:paraId="5B19CFDE" w14:textId="77777777" w:rsidR="00447F4D" w:rsidRDefault="00447F4D" w:rsidP="00447F4D"/>
    <w:p w14:paraId="08486379" w14:textId="77777777" w:rsidR="00447F4D" w:rsidRDefault="00447F4D" w:rsidP="00447F4D"/>
    <w:p w14:paraId="5C1CDB0B" w14:textId="77777777" w:rsidR="00447F4D" w:rsidRDefault="00447F4D" w:rsidP="00447F4D">
      <w:pPr>
        <w:pStyle w:val="Footer"/>
      </w:pPr>
      <w:r>
        <w:t xml:space="preserve">Helen Carrier, Parish Clerk, 1 </w:t>
      </w:r>
      <w:proofErr w:type="spellStart"/>
      <w:r>
        <w:t>Whin</w:t>
      </w:r>
      <w:proofErr w:type="spellEnd"/>
      <w:r>
        <w:t xml:space="preserve"> Common Road, Denver, Norfolk PE38 0DX</w:t>
      </w:r>
    </w:p>
    <w:p w14:paraId="5A0C16C7" w14:textId="77777777" w:rsidR="00447F4D" w:rsidRDefault="00F25DFC" w:rsidP="00447F4D">
      <w:pPr>
        <w:pStyle w:val="Footer"/>
      </w:pPr>
      <w:hyperlink r:id="rId8" w:history="1">
        <w:r w:rsidR="00447F4D" w:rsidRPr="00A51268">
          <w:rPr>
            <w:rStyle w:val="Hyperlink"/>
          </w:rPr>
          <w:t>shouldhampc@gmail.com</w:t>
        </w:r>
      </w:hyperlink>
    </w:p>
    <w:p w14:paraId="1CD2ABB5" w14:textId="77777777" w:rsidR="00447F4D" w:rsidRDefault="00F25DFC" w:rsidP="00447F4D">
      <w:pPr>
        <w:pStyle w:val="Footer"/>
      </w:pPr>
      <w:hyperlink r:id="rId9" w:history="1">
        <w:r w:rsidR="00447F4D" w:rsidRPr="00A51268">
          <w:rPr>
            <w:rStyle w:val="Hyperlink"/>
          </w:rPr>
          <w:t>http://shouldhampc.norfolkparishes.gov.uk</w:t>
        </w:r>
      </w:hyperlink>
    </w:p>
    <w:p w14:paraId="5912094E" w14:textId="77777777" w:rsidR="00447F4D" w:rsidRDefault="00447F4D" w:rsidP="00447F4D"/>
    <w:sectPr w:rsidR="00447F4D" w:rsidSect="00447F4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CB6F" w14:textId="77777777" w:rsidR="00F25DFC" w:rsidRDefault="00F25DFC" w:rsidP="00447F4D">
      <w:pPr>
        <w:spacing w:line="240" w:lineRule="auto"/>
      </w:pPr>
      <w:r>
        <w:separator/>
      </w:r>
    </w:p>
  </w:endnote>
  <w:endnote w:type="continuationSeparator" w:id="0">
    <w:p w14:paraId="7AE4B149" w14:textId="77777777" w:rsidR="00F25DFC" w:rsidRDefault="00F25DFC" w:rsidP="00447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123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9260A" w14:textId="14ACF01C" w:rsidR="00447F4D" w:rsidRDefault="00447F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7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D5370E" w14:textId="77777777" w:rsidR="00447F4D" w:rsidRDefault="0044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647C" w14:textId="77777777" w:rsidR="00F25DFC" w:rsidRDefault="00F25DFC" w:rsidP="00447F4D">
      <w:pPr>
        <w:spacing w:line="240" w:lineRule="auto"/>
      </w:pPr>
      <w:r>
        <w:separator/>
      </w:r>
    </w:p>
  </w:footnote>
  <w:footnote w:type="continuationSeparator" w:id="0">
    <w:p w14:paraId="2852E153" w14:textId="77777777" w:rsidR="00F25DFC" w:rsidRDefault="00F25DFC" w:rsidP="00447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BEB"/>
    <w:multiLevelType w:val="hybridMultilevel"/>
    <w:tmpl w:val="5FF0E896"/>
    <w:lvl w:ilvl="0" w:tplc="EE1A02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52AB"/>
    <w:multiLevelType w:val="hybridMultilevel"/>
    <w:tmpl w:val="4D763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0250"/>
    <w:multiLevelType w:val="hybridMultilevel"/>
    <w:tmpl w:val="0BE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51D0"/>
    <w:multiLevelType w:val="hybridMultilevel"/>
    <w:tmpl w:val="C0F61140"/>
    <w:lvl w:ilvl="0" w:tplc="47A01E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3BE4"/>
    <w:multiLevelType w:val="hybridMultilevel"/>
    <w:tmpl w:val="D5BC2EF2"/>
    <w:lvl w:ilvl="0" w:tplc="842C1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935"/>
    <w:multiLevelType w:val="hybridMultilevel"/>
    <w:tmpl w:val="E1B20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5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5"/>
    <w:rsid w:val="000A079A"/>
    <w:rsid w:val="001A766E"/>
    <w:rsid w:val="001D08C0"/>
    <w:rsid w:val="00447F4D"/>
    <w:rsid w:val="0062370E"/>
    <w:rsid w:val="00650ECD"/>
    <w:rsid w:val="0081579D"/>
    <w:rsid w:val="008B14BE"/>
    <w:rsid w:val="009043D5"/>
    <w:rsid w:val="00A933FC"/>
    <w:rsid w:val="00B506EA"/>
    <w:rsid w:val="00E1093B"/>
    <w:rsid w:val="00E808F5"/>
    <w:rsid w:val="00F25DFC"/>
    <w:rsid w:val="00F5398F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16ED"/>
  <w15:chartTrackingRefBased/>
  <w15:docId w15:val="{15D5D649-D062-4802-B325-698393B7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4D"/>
  </w:style>
  <w:style w:type="paragraph" w:styleId="Footer">
    <w:name w:val="footer"/>
    <w:basedOn w:val="Normal"/>
    <w:link w:val="Foot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4D"/>
  </w:style>
  <w:style w:type="character" w:styleId="Hyperlink">
    <w:name w:val="Hyperlink"/>
    <w:basedOn w:val="DefaultParagraphFont"/>
    <w:uiPriority w:val="99"/>
    <w:unhideWhenUsed/>
    <w:rsid w:val="00447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45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420059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376">
                      <w:marLeft w:val="300"/>
                      <w:marRight w:val="45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BF1F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ldham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ouldhampc.norfolkparish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03EC-DD23-4519-A56E-D8F79D59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Carrier</dc:creator>
  <cp:keywords/>
  <dc:description/>
  <cp:lastModifiedBy>Helen Carrier</cp:lastModifiedBy>
  <cp:revision>4</cp:revision>
  <dcterms:created xsi:type="dcterms:W3CDTF">2016-09-26T11:04:00Z</dcterms:created>
  <dcterms:modified xsi:type="dcterms:W3CDTF">2016-09-27T12:08:00Z</dcterms:modified>
</cp:coreProperties>
</file>